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pStyle w:val="Style_1"/>
        <w:ind/>
        <w:jc w:val="center"/>
        <w:rPr>
          <w:b w:val="1"/>
        </w:rPr>
      </w:pPr>
      <w:r>
        <w:rPr>
          <w:rFonts w:ascii="Times New Roman" w:hAnsi="Times New Roman"/>
          <w:b w:val="1"/>
          <w:sz w:val="30"/>
        </w:rPr>
        <w:t>Оценка эффективности реализации государственной программы Камчатского края «</w:t>
      </w:r>
      <w:r>
        <w:rPr>
          <w:b w:val="1"/>
        </w:rPr>
        <w:t>Социальное и экономическое развитие территории с особым статусом «Корякский округ» в 2022 году</w:t>
      </w:r>
    </w:p>
    <w:p w14:paraId="03000000">
      <w:pPr>
        <w:tabs>
          <w:tab w:leader="none" w:pos="1134" w:val="left"/>
        </w:tabs>
        <w:ind w:firstLine="709" w:left="0"/>
        <w:jc w:val="both"/>
      </w:pPr>
    </w:p>
    <w:p w14:paraId="04000000">
      <w:pPr>
        <w:tabs>
          <w:tab w:leader="none" w:pos="1134" w:val="left"/>
        </w:tabs>
        <w:ind w:firstLine="709" w:left="0"/>
        <w:jc w:val="both"/>
        <w:rPr>
          <w:rFonts w:ascii="Times New Roman" w:hAnsi="Times New Roman"/>
        </w:rPr>
      </w:pPr>
      <w:r>
        <w:t>В</w:t>
      </w:r>
      <w:r>
        <w:rPr>
          <w:rFonts w:ascii="Times New Roman" w:hAnsi="Times New Roman"/>
        </w:rPr>
        <w:t xml:space="preserve"> соответствии с приказом Министерства экономического развития Камчатского края от 13.02.2023 № 6-Н «Об утверждении методических указаний по разработке и реализации государственных программ Камчатского края» разработаны единые требования, предъявляемые к оценке эффективности реализации государственных программ Камчатского края (далее – оценка эффективности Программы). </w:t>
      </w:r>
    </w:p>
    <w:p w14:paraId="05000000">
      <w:pPr>
        <w:tabs>
          <w:tab w:leader="none" w:pos="1134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Оценка эффективности Программы производится с учетом следующих составляющих:</w:t>
      </w:r>
    </w:p>
    <w:p w14:paraId="06000000">
      <w:pPr>
        <w:numPr>
          <w:numId w:val="1"/>
        </w:numPr>
        <w:tabs>
          <w:tab w:leader="none" w:pos="1134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оценки степени достижения целей и решения задач государственной программы;</w:t>
      </w:r>
    </w:p>
    <w:p w14:paraId="07000000">
      <w:pPr>
        <w:numPr>
          <w:numId w:val="1"/>
        </w:numPr>
        <w:tabs>
          <w:tab w:leader="none" w:pos="1134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оценки степени</w:t>
      </w:r>
      <w:r>
        <w:rPr>
          <w:rFonts w:ascii="Times New Roman" w:hAnsi="Times New Roman"/>
        </w:rPr>
        <w:t xml:space="preserve"> соответствия запланированному уровню затрат;</w:t>
      </w:r>
    </w:p>
    <w:p w14:paraId="08000000">
      <w:pPr>
        <w:numPr>
          <w:numId w:val="1"/>
        </w:numPr>
        <w:tabs>
          <w:tab w:leader="none" w:pos="1134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оценки степени реализации контрольных событий плана реализации государственной программы.</w:t>
      </w:r>
    </w:p>
    <w:p w14:paraId="09000000">
      <w:pPr>
        <w:tabs>
          <w:tab w:leader="none" w:pos="1134" w:val="left"/>
        </w:tabs>
        <w:ind/>
        <w:jc w:val="both"/>
        <w:rPr>
          <w:rFonts w:ascii="Times New Roman" w:hAnsi="Times New Roman"/>
        </w:rPr>
      </w:pPr>
    </w:p>
    <w:p w14:paraId="0A000000">
      <w:pPr>
        <w:numPr>
          <w:numId w:val="2"/>
        </w:numPr>
        <w:tabs>
          <w:tab w:leader="none" w:pos="1134" w:val="left"/>
        </w:tabs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Оценка степени достижения целей и решения задач государственной программы</w:t>
      </w:r>
    </w:p>
    <w:p w14:paraId="0B000000">
      <w:pPr>
        <w:pStyle w:val="Style_1"/>
        <w:spacing w:line="240" w:lineRule="auto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</w:rPr>
        <w:t>Для оценки степени достижения целей и решения задач государственной программы определяе</w:t>
      </w:r>
      <w:r>
        <w:rPr>
          <w:rFonts w:ascii="Times New Roman" w:hAnsi="Times New Roman"/>
          <w:b w:val="0"/>
        </w:rPr>
        <w:t>тся степень достижения плановых значений каждого показателя (индикатор</w:t>
      </w:r>
      <w:r>
        <w:rPr>
          <w:rFonts w:ascii="Times New Roman" w:hAnsi="Times New Roman"/>
        </w:rPr>
        <w:t>а) отраслевых государственных п</w:t>
      </w:r>
      <w:r>
        <w:rPr>
          <w:rFonts w:ascii="Times New Roman" w:hAnsi="Times New Roman"/>
        </w:rPr>
        <w:t>рограмм Камчатского края</w:t>
      </w:r>
      <w:r>
        <w:rPr>
          <w:rFonts w:ascii="Times New Roman" w:hAnsi="Times New Roman"/>
          <w:b w:val="0"/>
        </w:rPr>
        <w:t xml:space="preserve">, оказывающих влияние на государственную программу Камчатского края </w:t>
      </w:r>
      <w:r>
        <w:rPr>
          <w:rFonts w:ascii="Times New Roman" w:hAnsi="Times New Roman"/>
          <w:b w:val="0"/>
          <w:sz w:val="30"/>
        </w:rPr>
        <w:t>«</w:t>
      </w:r>
      <w:r>
        <w:rPr>
          <w:rFonts w:ascii="Times New Roman" w:hAnsi="Times New Roman"/>
          <w:b w:val="0"/>
        </w:rPr>
        <w:t xml:space="preserve">Социальное и экономическое развитие территории с особым статусом «Корякский округ». </w:t>
      </w:r>
      <w:r>
        <w:rPr>
          <w:rFonts w:ascii="Times New Roman" w:hAnsi="Times New Roman"/>
          <w:b w:val="0"/>
          <w:sz w:val="28"/>
        </w:rPr>
        <w:t>Показатели (индикаторы) государственных программ Камчатского края отраслевых исполнительных органов Камчатского края учитывают значения в целом по Камчатскому краю, в том числе по Корякскому округу.</w:t>
      </w:r>
    </w:p>
    <w:p w14:paraId="0C000000">
      <w:pPr>
        <w:numPr>
          <w:numId w:val="3"/>
        </w:numPr>
        <w:spacing w:before="113" w:line="240" w:lineRule="auto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показателей (индикаторов), желаемой тенденцией развития которых является увеличение значений:</w:t>
      </w:r>
    </w:p>
    <w:p w14:paraId="0D000000">
      <w:pPr>
        <w:spacing w:before="113" w:line="240" w:lineRule="auto"/>
        <w:ind w:firstLine="0" w:left="0"/>
        <w:jc w:val="center"/>
        <w:rPr>
          <w:rFonts w:ascii="Times New Roman" w:hAnsi="Times New Roman"/>
        </w:rPr>
      </w:pPr>
      <m:oMathPara>
        <m:oMath>
          <m:r>
            <w:rPr>
              <w:rFonts w:ascii="Cambria Math" w:hAnsi="Cambria Math"/>
              <w:sz w:val="24"/>
            </w:rPr>
            <m:rPr>
              <m:sty m:val="p"/>
            </m:rPr>
            <m:t>С</m:t>
          </m:r>
          <m:r>
            <w:rPr>
              <w:rFonts w:ascii="Cambria Math" w:hAnsi="Cambria Math"/>
              <w:sz w:val="24"/>
            </w:rPr>
            <m:rPr>
              <m:sty m:val="p"/>
            </m:rPr>
            <m:t>Д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t>=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ф</m:t>
          </m:r>
          <m:r>
            <w:rPr>
              <w:rFonts w:ascii="Cambria Math" w:hAnsi="Cambria Math"/>
              <w:sz w:val="24"/>
            </w:rPr>
            <m:t>/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</m:oMath>
      </m:oMathPara>
    </w:p>
    <w:p w14:paraId="0E000000">
      <w:pPr>
        <w:numPr>
          <w:numId w:val="4"/>
        </w:numPr>
        <w:spacing w:before="113" w:line="240" w:lineRule="auto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показателей (индикаторов), желаемой тенденцией развития которых является снижение значений:</w:t>
      </w:r>
    </w:p>
    <w:p w14:paraId="0F000000">
      <w:pPr>
        <w:spacing w:before="113" w:line="240" w:lineRule="auto"/>
        <w:ind w:firstLine="0" w:left="0"/>
        <w:jc w:val="center"/>
        <w:rPr>
          <w:rFonts w:ascii="Times New Roman" w:hAnsi="Times New Roman"/>
        </w:rPr>
      </w:pPr>
      <m:oMathPara>
        <m:oMath>
          <m:r>
            <w:rPr>
              <w:rFonts w:ascii="Cambria Math" w:hAnsi="Cambria Math"/>
              <w:sz w:val="24"/>
            </w:rPr>
            <m:rPr>
              <m:sty m:val="p"/>
            </m:rPr>
            <m:t>С</m:t>
          </m:r>
          <m:r>
            <w:rPr>
              <w:rFonts w:ascii="Cambria Math" w:hAnsi="Cambria Math"/>
              <w:sz w:val="24"/>
            </w:rPr>
            <m:rPr>
              <m:sty m:val="p"/>
            </m:rPr>
            <m:t>Д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t>=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t>/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ф</m:t>
          </m:r>
        </m:oMath>
      </m:oMathPara>
    </w:p>
    <w:p w14:paraId="10000000">
      <w:pPr>
        <w:spacing w:before="113" w:line="240" w:lineRule="auto"/>
        <w:ind w:firstLine="54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 w14:paraId="11000000">
      <w:pPr>
        <w:spacing w:before="113" w:line="240" w:lineRule="auto"/>
        <w:ind w:firstLine="54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СД</w:t>
      </w:r>
      <w:r>
        <w:rPr>
          <w:rFonts w:ascii="Times New Roman" w:hAnsi="Times New Roman"/>
          <w:sz w:val="22"/>
        </w:rPr>
        <w:t>гппз</w:t>
      </w:r>
      <w:r>
        <w:rPr>
          <w:rFonts w:ascii="Times New Roman" w:hAnsi="Times New Roman"/>
        </w:rPr>
        <w:t xml:space="preserve"> - степень достижения планового значения показателя (индикатора) государственной программы;</w:t>
      </w:r>
    </w:p>
    <w:p w14:paraId="12000000">
      <w:pPr>
        <w:spacing w:before="113" w:line="240" w:lineRule="auto"/>
        <w:ind w:firstLine="54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ЗП</w:t>
      </w:r>
      <w:r>
        <w:rPr>
          <w:rFonts w:ascii="Times New Roman" w:hAnsi="Times New Roman"/>
          <w:sz w:val="22"/>
        </w:rPr>
        <w:t>гпф</w:t>
      </w:r>
      <w:r>
        <w:rPr>
          <w:rFonts w:ascii="Times New Roman" w:hAnsi="Times New Roman"/>
        </w:rPr>
        <w:t xml:space="preserve"> - значение показателя (индикатора), фактически достигнутое на конец отчетного периода;</w:t>
      </w:r>
    </w:p>
    <w:p w14:paraId="13000000">
      <w:pPr>
        <w:spacing w:before="170" w:line="240" w:lineRule="auto"/>
        <w:ind w:firstLine="54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ЗП</w:t>
      </w:r>
      <w:r>
        <w:rPr>
          <w:rFonts w:ascii="Times New Roman" w:hAnsi="Times New Roman"/>
          <w:sz w:val="22"/>
        </w:rPr>
        <w:t>гпп</w:t>
      </w:r>
      <w:r>
        <w:rPr>
          <w:rFonts w:ascii="Times New Roman" w:hAnsi="Times New Roman"/>
        </w:rPr>
        <w:t xml:space="preserve"> - плановое значение показателя (индикатора</w:t>
      </w:r>
      <w:r>
        <w:rPr>
          <w:rFonts w:ascii="Times New Roman" w:hAnsi="Times New Roman"/>
        </w:rPr>
        <w:t>) государственной программы</w:t>
      </w:r>
      <w:r>
        <w:rPr>
          <w:rFonts w:ascii="Times New Roman" w:hAnsi="Times New Roman"/>
        </w:rPr>
        <w:t>.</w:t>
      </w:r>
    </w:p>
    <w:p w14:paraId="14000000">
      <w:pPr>
        <w:spacing w:before="170" w:line="240" w:lineRule="auto"/>
        <w:ind w:firstLine="540" w:left="0"/>
        <w:jc w:val="both"/>
        <w:rPr>
          <w:rFonts w:ascii="Times New Roman" w:hAnsi="Times New Roman"/>
          <w:b w:val="1"/>
          <w:color w:val="0D0D0D"/>
          <w:sz w:val="28"/>
        </w:rPr>
      </w:pPr>
      <w:r>
        <w:rPr>
          <w:rFonts w:ascii="Times New Roman" w:hAnsi="Times New Roman"/>
        </w:rPr>
        <w:t>Показатели (индикаторы) государственной программы Министерства жилищно-коммунального хозяйства и энергетики Камчатского края</w:t>
      </w:r>
      <w:r>
        <w:rPr>
          <w:rFonts w:ascii="Times New Roman" w:hAnsi="Times New Roman"/>
          <w:color w:themeColor="text1" w:themeTint="F2" w:val="0D0D0D"/>
          <w:sz w:val="28"/>
        </w:rPr>
        <w:t xml:space="preserve"> </w:t>
      </w:r>
      <w:r>
        <w:rPr>
          <w:rFonts w:ascii="Times New Roman" w:hAnsi="Times New Roman"/>
          <w:b w:val="1"/>
          <w:color w:themeColor="text1" w:themeTint="F2" w:val="0D0D0D"/>
          <w:sz w:val="28"/>
        </w:rPr>
        <w:t>«</w:t>
      </w:r>
      <w:r>
        <w:rPr>
          <w:rFonts w:ascii="Times New Roman" w:hAnsi="Times New Roman"/>
          <w:color w:themeColor="text1" w:themeTint="F2" w:val="0D0D0D"/>
          <w:sz w:val="28"/>
        </w:rPr>
        <w:t>Обращение с отходами производства и потребления в Камчатском</w:t>
      </w:r>
      <w:r>
        <w:rPr>
          <w:rFonts w:ascii="Times New Roman" w:hAnsi="Times New Roman"/>
          <w:b w:val="0"/>
          <w:color w:themeColor="text1" w:themeTint="F2" w:val="0D0D0D"/>
          <w:sz w:val="28"/>
        </w:rPr>
        <w:t xml:space="preserve"> крае</w:t>
      </w:r>
      <w:r>
        <w:rPr>
          <w:rFonts w:ascii="Times New Roman" w:hAnsi="Times New Roman"/>
          <w:b w:val="0"/>
          <w:color w:themeColor="text1" w:themeTint="F2" w:val="0D0D0D"/>
          <w:sz w:val="28"/>
        </w:rPr>
        <w:t>»</w:t>
      </w:r>
      <w:r>
        <w:rPr>
          <w:rFonts w:ascii="Times New Roman" w:hAnsi="Times New Roman"/>
          <w:b w:val="0"/>
          <w:color w:val="0D0D0D"/>
          <w:sz w:val="28"/>
        </w:rPr>
        <w:t>:</w:t>
      </w:r>
    </w:p>
    <w:p w14:paraId="15000000">
      <w:pPr>
        <w:spacing w:before="170" w:line="240" w:lineRule="auto"/>
        <w:ind w:firstLine="540" w:left="0"/>
        <w:jc w:val="both"/>
        <w:rPr>
          <w:rFonts w:ascii="Times New Roman" w:hAnsi="Times New Roman"/>
          <w:b w:val="1"/>
          <w:color w:val="0D0D0D"/>
          <w:sz w:val="28"/>
        </w:rPr>
      </w:pPr>
    </w:p>
    <w:tbl>
      <w:tblPr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87"/>
        <w:gridCol w:w="4650"/>
        <w:gridCol w:w="1939"/>
        <w:gridCol w:w="2490"/>
      </w:tblGrid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6000000">
            <w:pPr>
              <w:pStyle w:val="Style_1"/>
              <w:widowControl w:val="0"/>
              <w:spacing w:after="0" w:before="0" w:line="240" w:lineRule="auto"/>
              <w:ind w:firstLine="0" w:left="0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 xml:space="preserve">№ </w:t>
            </w: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п/п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7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Наименование показателя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8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Степень достижения планового значения показателя (индикатора), %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9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A00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Количество проведенных мероприятий, направленных на информирование населения Камчатского края о системе обращения с отходами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B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C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D00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Доля изданных нормативных правовых актов в области обращения с отходами производства и потребления по отношению к запланированному на текущий год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E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F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000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Доля построенных и реконструированных объектов размещения, переработки и обезвреживания отходов в общем количестве таких объектов, предусмотренных Инвестиционной программой Камчатского края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1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0,0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2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300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Доля организованных мест накопления (раздельного накопления) отходов, в том числе ТКО, в общем количестве мест накопления отходов, запланированного к организации в соответствии с заявленной потребностью органов местного самоуправления на текущий год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4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5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6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ТКО, направленных на обработку (сортировку), в общей массе образованных ТКО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7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283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8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9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направленных на утилизацию отходов, выделенных в результате раздельного накопления и обработки (сортировки) ТКО, в общей массе образованных ТКО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A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B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C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населения, которому предоставлена коммунальная услуга по обращению с твердыми коммунальными отходами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D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E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F00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Количество принятых от граждан шин покрышек и камер автомобильных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0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0,99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1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200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Доля утилизированной авторезины в общем количестве принятой от граждан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3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4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10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500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Оказание коммунальной услуги по обращению с ТКО потребителям по утвержденному Региональной службой по тарифам и ценам Камчатского края льготному (сниженному) тарифу на услугу Регионального оператора в общем объеме предоставленной услуги по обращению с ТКО населению, включенному в производственную программу Регионального оператора на текущий финансовый год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6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7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11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800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Доля направленных на захоронение ТКО, в том числе прошедших обработку (сортировку) в общей массе образованных ТКО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9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A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12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B00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Доля ликвидированных мест несанкционированного размещения отходов в общем количестве мест несанкционированного размещения отходов, выявленных и внесенных в региональный реестр объектов несанкционированного размещения отходов в Камчатском крае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C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D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val="0D0D0D"/>
                <w:sz w:val="20"/>
              </w:rPr>
              <w:t>13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E00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Доля ликвидированных мест несанкционированного размещения отходов шин, покрышек, камер автомобильных в общей совокупности значений результатов использования субсидий муниципальными образованиями в Камчатском крае в соответствии с заключенными соглашениями о предоставлении субсидий в финансовом году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F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1,0</w:t>
            </w:r>
          </w:p>
        </w:tc>
      </w:tr>
      <w:tr>
        <w:trPr>
          <w:trHeight w:hRule="atLeast" w:val="360"/>
        </w:trPr>
        <w:tc>
          <w:tcPr>
            <w:tcW w:type="dxa" w:w="7375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0000000">
            <w:pPr>
              <w:pStyle w:val="Style_1"/>
              <w:widowControl w:val="0"/>
              <w:spacing w:after="0" w:before="0" w:line="240" w:lineRule="auto"/>
              <w:ind w:firstLine="0" w:left="0"/>
              <w:contextualSpacing w:val="1"/>
              <w:jc w:val="left"/>
              <w:rPr>
                <w:rFonts w:ascii="Times New Roman" w:hAnsi="Times New Roman"/>
                <w:b w:val="1"/>
                <w:color w:val="0D0D0D"/>
                <w:sz w:val="20"/>
              </w:rPr>
            </w:pPr>
            <w:r>
              <w:rPr>
                <w:rFonts w:ascii="Times New Roman" w:hAnsi="Times New Roman"/>
                <w:b w:val="1"/>
                <w:color w:val="0D0D0D"/>
                <w:sz w:val="20"/>
              </w:rPr>
              <w:t>Итого: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1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b w:val="1"/>
                <w:color w:val="0D0D0D"/>
                <w:sz w:val="20"/>
              </w:rPr>
            </w:pPr>
            <w:r>
              <w:rPr>
                <w:rFonts w:ascii="Times New Roman" w:hAnsi="Times New Roman"/>
                <w:b w:val="1"/>
                <w:color w:val="0D0D0D"/>
                <w:sz w:val="20"/>
              </w:rPr>
              <w:t>11,99/13</w:t>
            </w:r>
          </w:p>
        </w:tc>
      </w:tr>
    </w:tbl>
    <w:p w14:paraId="42000000">
      <w:pPr>
        <w:spacing w:before="280"/>
        <w:ind w:firstLine="709" w:left="0"/>
        <w:jc w:val="both"/>
        <w:rPr>
          <w:rFonts w:ascii="Times New Roman" w:hAnsi="Times New Roman"/>
          <w:i w:val="0"/>
        </w:rPr>
      </w:pPr>
    </w:p>
    <w:p w14:paraId="43000000">
      <w:pPr>
        <w:spacing w:before="280"/>
        <w:ind w:firstLine="709" w:left="0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Показатели (индикаторы) государственной программы Министерства жилищно-коммунального хозяйства и энергетики Камчатского края </w:t>
      </w:r>
      <w:r>
        <w:rPr>
          <w:rFonts w:ascii="Times New Roman" w:hAnsi="Times New Roman"/>
          <w:i w:val="0"/>
          <w:sz w:val="28"/>
        </w:rPr>
        <w:t>«Энергоэффективность, развитие энергетики и коммунального хозяйства, обеспечение жителей населенных пунктов Камчатского кр</w:t>
      </w:r>
      <w:r>
        <w:rPr>
          <w:rFonts w:ascii="Times New Roman" w:hAnsi="Times New Roman"/>
          <w:i w:val="0"/>
          <w:sz w:val="28"/>
        </w:rPr>
        <w:t>ая коммунальными услугами»:</w:t>
      </w:r>
    </w:p>
    <w:tbl>
      <w:tblPr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87"/>
        <w:gridCol w:w="4650"/>
        <w:gridCol w:w="1939"/>
        <w:gridCol w:w="2490"/>
      </w:tblGrid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4000000">
            <w:pPr>
              <w:pStyle w:val="Style_1"/>
              <w:widowControl w:val="0"/>
              <w:spacing w:after="0" w:before="0" w:line="240" w:lineRule="auto"/>
              <w:ind w:firstLine="0" w:left="0"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 xml:space="preserve">№ </w:t>
            </w: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п/п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5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Наименование показателя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6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  <w:color w:val="0D0D0D"/>
                <w:sz w:val="20"/>
              </w:rPr>
            </w:pPr>
            <w:r>
              <w:rPr>
                <w:rFonts w:ascii="Times New Roman" w:hAnsi="Times New Roman"/>
                <w:color w:themeColor="text1" w:themeTint="F2" w:val="0D0D0D"/>
                <w:sz w:val="20"/>
              </w:rPr>
              <w:t>Степень достижения планового значения показателя (индикатора), %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7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8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ежегодно заменяемых ветхих сетей, нуждающихся в замене, в % от их протяженности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9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14:paraId="4A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C000000">
            <w:pPr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Доля получателей субсидий на оплату жилого помещения и коммунальных услуг 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D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E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F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уличной водопроводной сети, нуждающейся в замене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0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1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2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уличной канализационной сети, нуждающейся в замене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3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4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5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Объем сточных вод, пропущенных через очистные сооружения, в общем объеме сточных вод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6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0,9</w:t>
            </w:r>
          </w:p>
        </w:tc>
      </w:tr>
      <w:tr>
        <w:trPr>
          <w:trHeight w:hRule="atLeast" w:val="283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7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сточных вод, очищенных до нормативных значений, в общем объеме сточных вод, пропущенных через очистные сооружения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9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0,94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A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B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C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D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городского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F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0,99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0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построенных и реконструированных объектов питьевого водоснабжения, предусмотренных в рамках регионального проекта «Чистая вода» (нарастающим итогом)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2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3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общей площади многоквартирных домов, в которых проведен капитальный ремонт общего имущества, от общей площади многоквартирных домов, требующих капитального ремонта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5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6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граждан, улучшивших жилищные условия в текущем году в результате капитального ремонта многоквартирных домов на основе региональной программы капитал</w:t>
            </w:r>
            <w:r>
              <w:rPr>
                <w:rFonts w:ascii="Times New Roman" w:hAnsi="Times New Roman"/>
                <w:sz w:val="20"/>
              </w:rPr>
              <w:t xml:space="preserve">ьного ремонта общего имущества </w:t>
            </w:r>
            <w:r>
              <w:rPr>
                <w:rFonts w:ascii="Times New Roman" w:hAnsi="Times New Roman"/>
                <w:sz w:val="20"/>
              </w:rPr>
              <w:t>в многоквартирных домах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8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375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9000000">
            <w:pPr>
              <w:ind w:firstLine="0" w:left="0"/>
              <w:jc w:val="left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Итого: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A000000">
            <w:pPr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10,83/11</w:t>
            </w:r>
          </w:p>
        </w:tc>
      </w:tr>
    </w:tbl>
    <w:p w14:paraId="6B000000">
      <w:pPr>
        <w:spacing w:before="280"/>
        <w:ind w:firstLine="0" w:left="0"/>
        <w:jc w:val="both"/>
        <w:rPr>
          <w:rFonts w:ascii="Times New Roman" w:hAnsi="Times New Roman"/>
          <w:i w:val="0"/>
        </w:rPr>
      </w:pPr>
    </w:p>
    <w:p w14:paraId="6C00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i w:val="0"/>
        </w:rPr>
        <w:t xml:space="preserve">Показатели (индикаторы) государственной программы Министерства развития гражданского общества и </w:t>
      </w:r>
      <w:r>
        <w:rPr>
          <w:rFonts w:ascii="Times New Roman" w:hAnsi="Times New Roman"/>
          <w:b w:val="0"/>
          <w:sz w:val="28"/>
        </w:rPr>
        <w:t>молодежи Камчатского края «Реализация государственной национальной политики и укрепление гражданского единства в Камчатском крае»:</w:t>
      </w:r>
    </w:p>
    <w:p w14:paraId="6D00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</w:p>
    <w:tbl>
      <w:tblPr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87"/>
        <w:gridCol w:w="4650"/>
        <w:gridCol w:w="1939"/>
        <w:gridCol w:w="2490"/>
      </w:tblGrid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E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F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0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Степень достижения планового значения показателя (индикатора), %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1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type="dxa" w:w="6588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72000000">
            <w:pPr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граждан, положительно оценивающих состояние межнациональных отношений в Камчатском крае, в общей численности опрошенных граждан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3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граждан, отмечающих отсутствие в отношении себя дискриминации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6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7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8000000">
            <w:pPr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граждан, не испытывающих негативного отношения к иностранным гражданам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9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A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B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мероприятий по укреплению межнационального и межконфессионального согласия, реализованных органами местного самоуправления городских округов и муниципальных районов в Камчатском крае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C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D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E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участников </w:t>
            </w:r>
            <w:r>
              <w:rPr>
                <w:rFonts w:ascii="Times New Roman" w:hAnsi="Times New Roman"/>
                <w:sz w:val="20"/>
              </w:rPr>
              <w:t xml:space="preserve">мероприятий, направленных </w:t>
            </w:r>
            <w:r>
              <w:rPr>
                <w:rFonts w:ascii="Times New Roman" w:hAnsi="Times New Roman"/>
                <w:sz w:val="20"/>
              </w:rPr>
              <w:t xml:space="preserve">на укрепление общероссийского </w:t>
            </w:r>
            <w:r>
              <w:rPr>
                <w:rFonts w:ascii="Times New Roman" w:hAnsi="Times New Roman"/>
                <w:sz w:val="20"/>
              </w:rPr>
              <w:t xml:space="preserve">гражданского </w:t>
            </w:r>
            <w:r>
              <w:rPr>
                <w:rFonts w:ascii="Times New Roman" w:hAnsi="Times New Roman"/>
                <w:sz w:val="20"/>
              </w:rPr>
              <w:t>единства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F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283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0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1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Численность участников </w:t>
            </w:r>
            <w:r>
              <w:rPr>
                <w:rFonts w:ascii="Times New Roman" w:hAnsi="Times New Roman"/>
                <w:sz w:val="20"/>
              </w:rPr>
              <w:t xml:space="preserve">мероприятий, направленных </w:t>
            </w:r>
            <w:r>
              <w:rPr>
                <w:rFonts w:ascii="Times New Roman" w:hAnsi="Times New Roman"/>
                <w:sz w:val="20"/>
              </w:rPr>
              <w:t xml:space="preserve">на этнокультурное </w:t>
            </w:r>
            <w:r>
              <w:rPr>
                <w:rFonts w:ascii="Times New Roman" w:hAnsi="Times New Roman"/>
                <w:sz w:val="20"/>
              </w:rPr>
              <w:t>развитие народов России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2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3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4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национальных праздников и иных мероприятий, организованных</w:t>
            </w:r>
            <w:r>
              <w:rPr>
                <w:rFonts w:ascii="Times New Roman" w:hAnsi="Times New Roman"/>
                <w:sz w:val="20"/>
              </w:rPr>
              <w:t>этнокультурными объединениями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5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6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7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выявленных межэтнических и межрелигиозных противоречий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8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9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A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Доля жителей Камчатского </w:t>
            </w:r>
            <w:r>
              <w:rPr>
                <w:rFonts w:ascii="Times New Roman" w:hAnsi="Times New Roman"/>
                <w:sz w:val="20"/>
              </w:rPr>
              <w:t>края, считающих себя россиянами или причисляющих себя к российской нации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B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C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D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Доля граждан, участвующих в  мероприятиях по  патриотическому воспитанию, по отношению к общему количеству граждан в Камчатском крае 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E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F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действующих патриотических объединений, клубов, центров, в том числе детских и молодежных в Камчатском крае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1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298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2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3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оборонно-спортивных лагерей 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4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5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6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местных отделений военно-патриотического движения «Юнармия»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7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8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9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общеобразовательных, профессиональных образовательных и образовательных организаций высшего образования, над которыми шефствуют воинские части (корабли), в общем количестве таких образовательных организаций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A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B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C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восстановленных воинских захоронений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D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E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F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Численность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0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1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2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Численность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3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4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5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проведенных церемоний, памятных и иных связанных с ними мероприятий, посвященных военнослужащим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6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7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8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представителей коренных малочисленных народов, охваченных дополнительными услугами в области здравоохранения, социальной защиты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9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14:paraId="AA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B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C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граждан из числа коренных малочисленных народов, прошедших диспансеризацию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D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E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F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представителей коренных малочисленных народов, которым оказана государственная поддержка в целях получения среднего профессионального и высшего образования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0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1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2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общин коренных малочисленных народов, получивших финансовую поддержку в целях развития экономики традиционных отраслей хозяйствования коренных малочисленных народов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3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4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5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общин коренных малочисленных народов, получивших финансовую поддержку в целях развития экономики традиционных отраслей хозяйствования коренных малочисленных народов, в общем количестве зарегистрированных общин коренных малочисленных народов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6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7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8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участников мероприятий, направленных на этнокультурное развитие коренных малочисленных народов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9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A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B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из общего числа опрошенных лиц, относящихся к коренным малочисленным народам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C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D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E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экземпляров книг, газет и другой печатной продукции, посвященной культурному и социально-экономическому развитию коренных малочисленных народов, изданной в том числе на национальных языках коренных малочисленных народов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F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0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1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мероприятий в рамках программ и проектов НКО, проведенных при финансовой поддержке за счет средств краевого бюджета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2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3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4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мероприятий, проведенных в рамках программ и проектов НКО совместно с органами местного самоуправления муниципальных образований в Камчатском крае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5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6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7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Число муниципальных образований в Камчатском крае, в которых реализуются программы и проекты НКО, получившие государственную поддержку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8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9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A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Число граждан, принявших участие в мероприятиях в рамках программ и проектов НКО при финансовой поддержке из краевого бюджета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B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C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D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Соотношение числа НКО, в том числе НКО - исполнителей общественно полезных услуг, реализующих свои программы и проекты при финансовой поддержке из краевого бюджета, и общего числа зарегистрированных в Камчатском крае НКО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E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20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F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публикаций в средствах массовой информации в Камчатском крае, в том числе в информационно-коммуникационной сети «Интернет», посвященных вопросам развития и деятельности НКО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1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2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3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Среднегодовая численность штатных и внештатных работников НКО, участвующих в реализации социально значимых программ и проектов, оказании общественно полезных услуг при финансовой поддержке из краевого бюджета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4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5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6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НКО, которым оказана поддержка в нефинансовых формах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7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8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9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Общая численность добровольцев, привлекаемых к реализации социально значимых программ и проектов НКО, оказанию общественно полезных услуг при финансовой поддержке из краевого бюджета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A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B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C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Соотношение числа благотворительных организаций и общего числа зарегистрированных в Камчатском крае НКО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D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E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F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молодежи, принимающей участие в Форуме молодых деятелей культуры и искусств «Таврида»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0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1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2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талантливой молодежи, получившей государственную поддержку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3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4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5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молодых семей, принявших участие в конкурсе (форуме) «Молодая семья»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6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7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8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молодежи, принимающей участие в фестивалях, конкурсах, слетах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9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A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B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C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D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E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проведенных форумов, фестивалей, семинаров, тренингов, круглых столов и мероприятий, направленных на нравственное, интеллектуальное, духовное развитие и экологическое воспитание молодежи Камчатского края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F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375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0000000">
            <w:pPr>
              <w:ind w:firstLine="0" w:left="0"/>
              <w:jc w:val="left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Итого: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1000000">
            <w:pPr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40/42</w:t>
            </w:r>
          </w:p>
        </w:tc>
      </w:tr>
    </w:tbl>
    <w:p w14:paraId="F200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F300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i w:val="0"/>
        </w:rPr>
        <w:t>Показатели (индикаторы) государственной программы Министерства социального благополучия и семейной политик</w:t>
      </w:r>
      <w:r>
        <w:rPr>
          <w:rFonts w:ascii="Times New Roman" w:hAnsi="Times New Roman"/>
          <w:b w:val="0"/>
          <w:sz w:val="28"/>
        </w:rPr>
        <w:t xml:space="preserve">и Камчатского края </w:t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</w:rPr>
        <w:t>Социальная поддержка граждан в Камчатском крае»:</w:t>
      </w:r>
    </w:p>
    <w:p w14:paraId="F400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</w:p>
    <w:tbl>
      <w:tblPr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87"/>
        <w:gridCol w:w="4650"/>
        <w:gridCol w:w="1939"/>
        <w:gridCol w:w="2490"/>
      </w:tblGrid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5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6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7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Степень достижения планового значения показателя (индикатора), %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8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type="dxa" w:w="6588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9000000">
            <w:pPr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Доля населения, имеющего денежные доходы ниже величины прожиточного минимума, в общей численности населения Камчатского края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A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rPr>
          <w:trHeight w:hRule="atLeast" w:val="299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C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D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E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F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0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2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 пожилого возраста, получающих различные формы социальной поддержки, от общего числа граждан пожилого возраста, проживающих в Камчатском крае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3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4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5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Ожидаемая продолжительность жизни граждан в Камчатском крае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6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283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7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8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9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A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E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Ожидаемая продолжительность здоровой жизни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0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1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 старшего возраста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2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3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4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Число муниципальных образований в Камчатском крае (нарастающим итогом), в которых внедряется система долговременного ухода за гражданами пожилого возраста, проживающими в Камчатском крае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5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6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7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Численность граждан старшего поколения посетивших мероприятия, организованные краевыми учреждениями культуры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8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298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9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A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предоставления мер социальной поддержки в денежной форме отдельным категориям граждан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B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C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D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Суммарный коэффициент рождаемости (число детей на одну женщину) в Камчатском крае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E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F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0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Численность лиц, которым фактически предоставлена региональная социальная доплата к пенсии в отчетном году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1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2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3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Суммарный коэффициент рождаемости вторых детей (число вторых детей в расчете на 1 женщину)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4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5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6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Суммарный коэффициент рождаемости третьих и последующих детей (число детей на одну женщину)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7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403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8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9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Коэффициент рождаемости в возрастной группе 25-29 лет (число родившихся на 1000 женщин соответствующего возраста)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A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B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C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Коэффициент рождаемости в возрастной группе 30-34 лет (число родившихся на 1000 женщин соответствующего возраста)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D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E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F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Коэффициент рождаемости в возрастной группе 35-39 лет (число родившихся на 1000 женщин соответствующего возраста)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0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1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2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Число семей с тремя и более детьми, которые в отчетном году получат ежемесячную денежную выплату в случае рождения третьего ребенка или последующих детей до достижения ребенком возраста 3 лет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3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4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5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Число лиц из числа детей-сирот и детей, оставшихся без попечения родителей, которые достигли возраста 23 лет, в отчетном году получат единовременную социальную выплату на приобретение жилого помещения в собственность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6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7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8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9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A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B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инвалидов, положительно оценивающих уровень доступности приоритетных объектов и услуг в основных сферах жизнедеятельности инвалидов, в общей численности опрошенных инвалидов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C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D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E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приоритетных объектов и услуг в основных сферах жизнедеятельности инвалидов, нанесенных на карту доступности Камчатского края по результатам их паспортизации, среди всех приоритетных объектов и услуг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F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0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1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приоритетных объектов, доступных для инвалидов и других МГН, в сфере социальной защиты в общем количестве приоритетных объектов в сфере социальной защиты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2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3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4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5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6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7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детей-инвалидов в возрасте от 5 до 18 лет, получающих дополнительное образование, в общей численности детей-инвалидов данного возраста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8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9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A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приоритетных объектов органов службы занятости, доступных для инвалидов и других МГН, в общем количестве объектов органов службы занятости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B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C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D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приоритетных объектов, доступных для инвалидов и других МГН, в сфере здравоохранения в общем количестве приоритетных объектов в сфере здравоохранения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E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F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0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1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2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3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4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20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5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6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7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8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9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A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B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C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приоритетных объектов, доступных для инвалидов и других МГН, в сфере культуры в общем количестве приоритетных объектов в сфере культуры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D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E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F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парка подвижного состава автомобильного транспорта общего пользования, оборудованного для перевозки инвалидов и других МГН, в парке этого подвижного состава (автобусного)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0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1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2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приоритетных объектов транспортной инфраструктуры, доступных для инвалидов и других МГН, в общем количестве приоритетных объектов транспортной инфраструктуры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3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4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5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лиц с ограниченными возможностями здоровья и инвалидов в возрасте от 6 до 18 лет,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6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7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8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приоритетных объектов, доступных для инвалидов и других МГН, в сфере физической культуры и спорта в общем количестве приоритетных объектов в сфере физической культуры и спорта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9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A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B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граждан, признающих навыки, достоинства и способности инвалидов, в общей численности опрошенных граждан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C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D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E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инвалидов, принятых на обучение по программам среднего профессионального образования (по отношению к предыдущему году)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F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0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1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2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3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4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выпускников-инвалидов 9 и 11 классов, охваченных профориентационной работой, в общей численности выпускников-инвалидов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5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6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7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Удельный вес зданий краевых государственных организаций социального обслуживания, требующих реконструкции, зданий, находящихся в аварийном состоянии, ветхих зданий, в общем количестве зданий стационарных краевых государственных организаций социального обслуживания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8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9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A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граждан, проживающих в краевых государственных организациях социального обслуживания в улучшенных условиях, в общей численности граждан, проживающих в краевых государственных организациях социального обслуживания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B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C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D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Удельный вес краевых государственных организаций социального обслуживания, оснащенных оборудованием, оргтехникой, мебелью, транспортными средствами, в общем количестве краевых государственных организаций социального обслуживания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E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F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0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специалистов краевых государственных организаций социального обслуживания с профильным образованием в общей численности специалистов краевых государственных организаций социального обслуживания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1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2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3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граждан, удовлетворенных оказанными социальными услугами, от общего числа получателей социальных услуг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4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5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6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СОНКО, обслуживающих домашние хозяйства на территории Камчатского края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7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35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8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9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публикаций в средствах массовой информации Камчатского края о деятельности СОНКО, предоставляющих услуги в социальной сфере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A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B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C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СОНКО, которым оказана поддержка в нефинансовых формах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D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E01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type="dxa" w:w="65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F01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Число получателей услуг по результатам уставной деятельности СОНКО при финансовой поддержке из краевого бюджета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001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rPr>
          <w:trHeight w:hRule="atLeast" w:val="360"/>
        </w:trPr>
        <w:tc>
          <w:tcPr>
            <w:tcW w:type="dxa" w:w="7375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1010000">
            <w:pPr>
              <w:ind w:firstLine="0" w:left="0"/>
              <w:jc w:val="left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Итого:</w:t>
            </w:r>
          </w:p>
        </w:tc>
        <w:tc>
          <w:tcPr>
            <w:tcW w:type="dxa" w:w="24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2010000">
            <w:pPr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47/51</w:t>
            </w:r>
          </w:p>
        </w:tc>
      </w:tr>
    </w:tbl>
    <w:p w14:paraId="9301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94010000">
      <w:pPr>
        <w:spacing w:after="120"/>
        <w:ind w:firstLine="709" w:left="0"/>
        <w:jc w:val="both"/>
        <w:rPr>
          <w:rFonts w:ascii="Times New Roman" w:hAnsi="Times New Roman"/>
          <w:b w:val="0"/>
          <w:i w:val="0"/>
          <w:sz w:val="28"/>
        </w:rPr>
      </w:pPr>
      <w:r>
        <w:rPr>
          <w:rFonts w:ascii="Times New Roman" w:hAnsi="Times New Roman"/>
          <w:i w:val="0"/>
        </w:rPr>
        <w:t xml:space="preserve">Показатели (индикаторы) государственной программы Министерства </w:t>
      </w:r>
      <w:r>
        <w:rPr>
          <w:rFonts w:ascii="Times New Roman" w:hAnsi="Times New Roman"/>
          <w:b w:val="0"/>
          <w:i w:val="0"/>
        </w:rPr>
        <w:t>здравоохранения Камчатского края «Развитие здра</w:t>
      </w:r>
      <w:r>
        <w:rPr>
          <w:rFonts w:ascii="Times New Roman" w:hAnsi="Times New Roman"/>
          <w:b w:val="0"/>
          <w:i w:val="0"/>
        </w:rPr>
        <w:t>воохранения Камчатского края»</w:t>
      </w:r>
    </w:p>
    <w:p w14:paraId="95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1: из 39 индикаторов у 29 СД равно 1:</w:t>
      </w:r>
    </w:p>
    <w:p w14:paraId="96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97010000">
      <w:pPr>
        <w:tabs>
          <w:tab w:leader="none" w:pos="1276" w:val="left"/>
        </w:tabs>
        <w:ind w:firstLine="283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16"/>
        </w:rPr>
        <w:t xml:space="preserve">гпп1 </w:t>
      </w:r>
      <w:r>
        <w:rPr>
          <w:rFonts w:ascii="Times New Roman" w:hAnsi="Times New Roman"/>
        </w:rPr>
        <w:t>=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t>1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*</m:t>
              </m:r>
              <m:r>
                <w:rPr>
                  <w:rFonts w:ascii="Cambria Math" w:hAnsi="Cambria Math"/>
                  <w:sz w:val="22"/>
                </w:rPr>
                <m:t>29+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0,45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0,65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0,97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0,73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0,78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0,84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0,72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0,86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0,95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0,67</m:t>
              </m:r>
            </m:num>
            <m:den>
              <m:r>
                <w:rPr>
                  <w:rFonts w:ascii="Cambria Math" w:hAnsi="Cambria Math"/>
                  <w:sz w:val="22"/>
                </w:rPr>
                <m:t>39</m:t>
              </m:r>
            </m:den>
          </m:f>
        </m:oMath>
      </m:oMathPara>
      <w:r>
        <w:rPr>
          <w:rFonts w:ascii="Times New Roman" w:hAnsi="Times New Roman"/>
        </w:rPr>
        <w:t xml:space="preserve"> = 0,92;</w:t>
      </w:r>
    </w:p>
    <w:p w14:paraId="98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</w:p>
    <w:p w14:paraId="99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2: из 23 индикаторов у 18 СД равно 1:</w:t>
      </w:r>
    </w:p>
    <w:p w14:paraId="9A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9B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16"/>
        </w:rPr>
        <w:t xml:space="preserve">гпп2 </w:t>
      </w:r>
      <w:r>
        <w:rPr>
          <w:rFonts w:ascii="Times New Roman" w:hAnsi="Times New Roman"/>
        </w:rPr>
        <w:t xml:space="preserve">= 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t>1*18+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0,80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0,42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0,82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0,91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0,56</m:t>
              </m:r>
            </m:num>
            <m:den>
              <m:r>
                <w:rPr>
                  <w:rFonts w:ascii="Cambria Math" w:hAnsi="Cambria Math"/>
                  <w:sz w:val="22"/>
                </w:rPr>
                <m:t>23</m:t>
              </m:r>
            </m:den>
          </m:f>
        </m:oMath>
      </m:oMathPara>
      <w:r>
        <w:rPr>
          <w:rFonts w:ascii="Times New Roman" w:hAnsi="Times New Roman"/>
        </w:rPr>
        <w:t xml:space="preserve">  = 0,94;   </w:t>
      </w:r>
    </w:p>
    <w:p w14:paraId="9C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</w:t>
      </w:r>
    </w:p>
    <w:p w14:paraId="9D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3: из 12 индикаторов у 8 СД равно 1:</w:t>
      </w:r>
    </w:p>
    <w:p w14:paraId="9E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9F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16"/>
        </w:rPr>
        <w:t>гпп</w:t>
      </w:r>
      <w:r>
        <w:rPr>
          <w:rFonts w:ascii="Times New Roman" w:hAnsi="Times New Roman"/>
          <w:sz w:val="16"/>
        </w:rPr>
        <w:t xml:space="preserve">3  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</w:rPr>
        <w:t xml:space="preserve"> 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t>1*8+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0,60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0,79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0,85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0,98</m:t>
              </m:r>
            </m:num>
            <m:den>
              <m:r>
                <w:rPr>
                  <w:rFonts w:ascii="Cambria Math" w:hAnsi="Cambria Math"/>
                  <w:sz w:val="22"/>
                </w:rPr>
                <m:t>12</m:t>
              </m:r>
            </m:den>
          </m:f>
        </m:oMath>
      </m:oMathPara>
      <w:r>
        <w:rPr>
          <w:rFonts w:ascii="Times New Roman" w:hAnsi="Times New Roman"/>
        </w:rPr>
        <w:t xml:space="preserve"> = 0,94;</w:t>
      </w:r>
    </w:p>
    <w:p w14:paraId="A0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</w:p>
    <w:p w14:paraId="A1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4: из 15 индикаторов у 13 СД равно 1:</w:t>
      </w:r>
    </w:p>
    <w:p w14:paraId="A2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A3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16"/>
        </w:rPr>
        <w:t>гпп4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= 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t>1*13+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0,77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0,83</m:t>
              </m:r>
            </m:num>
            <m:den>
              <m:r>
                <w:rPr>
                  <w:rFonts w:ascii="Cambria Math" w:hAnsi="Cambria Math"/>
                  <w:sz w:val="22"/>
                </w:rPr>
                <m:t>15</m:t>
              </m:r>
            </m:den>
          </m:f>
        </m:oMath>
      </m:oMathPara>
      <w:r>
        <w:rPr>
          <w:rFonts w:ascii="Times New Roman" w:hAnsi="Times New Roman"/>
        </w:rPr>
        <w:t xml:space="preserve"> =</w:t>
      </w:r>
      <w:r>
        <w:rPr>
          <w:rFonts w:ascii="Times New Roman" w:hAnsi="Times New Roman"/>
        </w:rPr>
        <w:t xml:space="preserve"> 0,97;  </w:t>
      </w:r>
    </w:p>
    <w:p w14:paraId="A4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  <w:sz w:val="16"/>
        </w:rPr>
      </w:pPr>
    </w:p>
    <w:p w14:paraId="A5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5: из 3 индикаторов у 3 СД равно 1:</w:t>
      </w:r>
    </w:p>
    <w:p w14:paraId="A6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A7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16"/>
        </w:rPr>
        <w:t xml:space="preserve">гпп5 </w:t>
      </w:r>
      <w:r>
        <w:rPr>
          <w:rFonts w:ascii="Times New Roman" w:hAnsi="Times New Roman"/>
        </w:rPr>
        <w:t>=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t>1*3</m:t>
              </m:r>
            </m:num>
            <m:den>
              <m:r>
                <w:rPr>
                  <w:rFonts w:ascii="Cambria Math" w:hAnsi="Cambria Math"/>
                  <w:sz w:val="22"/>
                </w:rPr>
                <m:t>3</m:t>
              </m:r>
            </m:den>
          </m:f>
        </m:oMath>
      </m:oMathPara>
      <w:r>
        <w:rPr>
          <w:rFonts w:ascii="Times New Roman" w:hAnsi="Times New Roman"/>
        </w:rPr>
        <w:t xml:space="preserve"> = 1;      </w:t>
      </w:r>
    </w:p>
    <w:p w14:paraId="A8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</w:p>
    <w:p w14:paraId="A9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6: из 2 индикаторов у 0 СД равно 1:</w:t>
      </w:r>
    </w:p>
    <w:p w14:paraId="AA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AB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16"/>
        </w:rPr>
        <w:t>гпп6</w:t>
      </w:r>
      <w:r>
        <w:rPr>
          <w:rFonts w:ascii="Times New Roman" w:hAnsi="Times New Roman"/>
        </w:rPr>
        <w:t xml:space="preserve"> =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0,75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0,72</m:t>
              </m:r>
            </m:num>
            <m:den>
              <m:r>
                <w:rPr>
                  <w:rFonts w:ascii="Cambria Math" w:hAnsi="Cambria Math"/>
                  <w:sz w:val="22"/>
                </w:rPr>
                <m:t>2</m:t>
              </m:r>
            </m:den>
          </m:f>
        </m:oMath>
      </m:oMathPara>
      <w:r>
        <w:rPr>
          <w:rFonts w:ascii="Times New Roman" w:hAnsi="Times New Roman"/>
        </w:rPr>
        <w:t xml:space="preserve"> = 0,74;</w:t>
      </w:r>
    </w:p>
    <w:p w14:paraId="AC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</w:p>
    <w:p w14:paraId="AD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7: из 5 индикаторов у 3 СД равно 1:</w:t>
      </w:r>
    </w:p>
    <w:p w14:paraId="AE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AF010000">
      <w:pPr>
        <w:tabs>
          <w:tab w:leader="none" w:pos="709" w:val="left"/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СР</w:t>
      </w:r>
      <w:r>
        <w:rPr>
          <w:rFonts w:ascii="Times New Roman" w:hAnsi="Times New Roman"/>
          <w:sz w:val="16"/>
        </w:rPr>
        <w:t>гпп7</w:t>
      </w:r>
      <w:r>
        <w:rPr>
          <w:rFonts w:ascii="Times New Roman" w:hAnsi="Times New Roman"/>
        </w:rPr>
        <w:t xml:space="preserve"> =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t>3*1+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0,94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0,84</m:t>
              </m:r>
            </m:num>
            <m:den>
              <m:r>
                <w:rPr>
                  <w:rFonts w:ascii="Cambria Math" w:hAnsi="Cambria Math"/>
                  <w:sz w:val="22"/>
                </w:rPr>
                <m:t>5</m:t>
              </m:r>
            </m:den>
          </m:f>
        </m:oMath>
      </m:oMathPara>
      <w:r>
        <w:rPr>
          <w:rFonts w:ascii="Times New Roman" w:hAnsi="Times New Roman"/>
        </w:rPr>
        <w:t xml:space="preserve"> = 0,96;     </w:t>
      </w:r>
    </w:p>
    <w:p w14:paraId="B0010000">
      <w:pPr>
        <w:tabs>
          <w:tab w:leader="none" w:pos="709" w:val="left"/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B1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8: из 2 индикаторов у 2 СД равно 1:</w:t>
      </w:r>
    </w:p>
    <w:p w14:paraId="B2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B3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16"/>
        </w:rPr>
        <w:t xml:space="preserve">гпп8 </w:t>
      </w:r>
      <w:r>
        <w:rPr>
          <w:rFonts w:ascii="Times New Roman" w:hAnsi="Times New Roman"/>
        </w:rPr>
        <w:t>=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t>1*2</m:t>
              </m:r>
            </m:num>
            <m:den>
              <m:r>
                <w:rPr>
                  <w:rFonts w:ascii="Cambria Math" w:hAnsi="Cambria Math"/>
                  <w:sz w:val="22"/>
                </w:rPr>
                <m:t>2</m:t>
              </m:r>
            </m:den>
          </m:f>
        </m:oMath>
      </m:oMathPara>
      <w:r>
        <w:rPr>
          <w:rFonts w:ascii="Times New Roman" w:hAnsi="Times New Roman"/>
          <w:sz w:val="24"/>
        </w:rPr>
        <w:t xml:space="preserve"> = </w:t>
      </w:r>
      <w:r>
        <w:rPr>
          <w:rFonts w:ascii="Times New Roman" w:hAnsi="Times New Roman"/>
        </w:rPr>
        <w:t>1;</w:t>
      </w:r>
    </w:p>
    <w:p w14:paraId="B4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9: из 1 индикатора у 0 СД равно 1:</w:t>
      </w:r>
    </w:p>
    <w:p w14:paraId="B5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B6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16"/>
        </w:rPr>
        <w:t xml:space="preserve">гпп9 </w:t>
      </w:r>
      <w:r>
        <w:rPr>
          <w:rFonts w:ascii="Times New Roman" w:hAnsi="Times New Roman"/>
        </w:rPr>
        <w:t>=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t>0</m:t>
              </m:r>
            </m:num>
            <m:den>
              <m:r>
                <w:rPr>
                  <w:rFonts w:ascii="Cambria Math" w:hAnsi="Cambria Math"/>
                  <w:sz w:val="22"/>
                </w:rPr>
                <m:t>1</m:t>
              </m:r>
            </m:den>
          </m:f>
        </m:oMath>
      </m:oMathPara>
      <w:r>
        <w:rPr>
          <w:rFonts w:ascii="Times New Roman" w:hAnsi="Times New Roman"/>
          <w:sz w:val="24"/>
        </w:rPr>
        <w:t xml:space="preserve"> = </w:t>
      </w:r>
      <w:r>
        <w:rPr>
          <w:rFonts w:ascii="Times New Roman" w:hAnsi="Times New Roman"/>
        </w:rPr>
        <w:t>0;</w:t>
      </w:r>
    </w:p>
    <w:p w14:paraId="B7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</w:p>
    <w:p w14:paraId="B8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А: из 6 индикаторов у 5 СД равно 1:</w:t>
      </w:r>
    </w:p>
    <w:p w14:paraId="B9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BA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16"/>
        </w:rPr>
        <w:t>гппА</w:t>
      </w:r>
      <w:r>
        <w:rPr>
          <w:rFonts w:ascii="Times New Roman" w:hAnsi="Times New Roman"/>
          <w:sz w:val="16"/>
        </w:rPr>
        <w:t xml:space="preserve">  </w:t>
      </w:r>
      <w:r>
        <w:rPr>
          <w:rFonts w:ascii="Times New Roman" w:hAnsi="Times New Roman"/>
        </w:rPr>
        <w:t>=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t>1*5+</m:t>
              </m:r>
              <m:r>
                <w:rPr>
                  <w:rFonts w:ascii="Cambria Math" w:hAnsi="Cambria Math"/>
                  <w:sz w:val="22"/>
                </w:rPr>
                <m:rPr>
                  <m:sty m:val="p"/>
                </m:rPr>
                <m:t>0,89</m:t>
              </m:r>
            </m:num>
            <m:den>
              <m:r>
                <w:rPr>
                  <w:rFonts w:ascii="Cambria Math" w:hAnsi="Cambria Math"/>
                  <w:sz w:val="22"/>
                </w:rPr>
                <m:t>6</m:t>
              </m:r>
            </m:den>
          </m:f>
        </m:oMath>
      </m:oMathPara>
      <w:r>
        <w:rPr>
          <w:rFonts w:ascii="Times New Roman" w:hAnsi="Times New Roman"/>
        </w:rPr>
        <w:t xml:space="preserve"> = 0,98;</w:t>
      </w:r>
    </w:p>
    <w:p w14:paraId="BB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</w:p>
    <w:p w14:paraId="BC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индикаторам Подпрограммы Б: из 5 индикаторов у 5 СД равно 1:</w:t>
      </w:r>
    </w:p>
    <w:p w14:paraId="BD010000">
      <w:pPr>
        <w:tabs>
          <w:tab w:leader="none" w:pos="1276" w:val="left"/>
        </w:tabs>
        <w:ind/>
        <w:jc w:val="both"/>
        <w:rPr>
          <w:rFonts w:ascii="Times New Roman" w:hAnsi="Times New Roman"/>
        </w:rPr>
      </w:pPr>
    </w:p>
    <w:p w14:paraId="BE010000">
      <w:pPr>
        <w:tabs>
          <w:tab w:leader="none" w:pos="1276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16"/>
        </w:rPr>
        <w:t>гппБ</w:t>
      </w:r>
      <w:r>
        <w:rPr>
          <w:rFonts w:ascii="Times New Roman" w:hAnsi="Times New Roman"/>
          <w:sz w:val="16"/>
        </w:rPr>
        <w:t xml:space="preserve">  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</w:rPr>
        <w:t xml:space="preserve"> </w:t>
      </w:r>
      <m:oMathPara>
        <m:oMath>
          <m:f>
            <m:fPr>
              <m:type m:val="bar"/>
            </m:fPr>
            <m:num>
              <m:r>
                <w:rPr>
                  <w:rFonts w:ascii="Cambria Math" w:hAnsi="Cambria Math"/>
                  <w:sz w:val="22"/>
                </w:rPr>
                <m:t>1*5</m:t>
              </m:r>
            </m:num>
            <m:den>
              <m:r>
                <w:rPr>
                  <w:rFonts w:ascii="Cambria Math" w:hAnsi="Cambria Math"/>
                  <w:sz w:val="22"/>
                </w:rPr>
                <m:t>5</m:t>
              </m:r>
            </m:den>
          </m:f>
        </m:oMath>
      </m:oMathPara>
      <w:r>
        <w:rPr>
          <w:rFonts w:ascii="Times New Roman" w:hAnsi="Times New Roman"/>
        </w:rPr>
        <w:t xml:space="preserve"> = 1</w:t>
      </w:r>
    </w:p>
    <w:p w14:paraId="BF01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C001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i w:val="0"/>
        </w:rPr>
        <w:t>Показатели (индикаторы) государственной программы Министерства по делам местного самоуправления и развитию Корякского округа Камчатского края «</w:t>
      </w:r>
      <w:r>
        <w:rPr>
          <w:rFonts w:ascii="Times New Roman" w:hAnsi="Times New Roman"/>
        </w:rPr>
        <w:t>Социальное и экономическое развитие территории с особым статусом «Корякский округ» (подпрограмма 3 Министерства строительства и жилищной политики Камчатского края «</w:t>
      </w:r>
      <w:r>
        <w:rPr>
          <w:rFonts w:ascii="Times New Roman" w:hAnsi="Times New Roman"/>
        </w:rPr>
        <w:t>Обеспечение доступным и комфортным жильем и коммунальными услугами населения Корякского округа</w:t>
      </w:r>
      <w:r>
        <w:rPr>
          <w:rFonts w:ascii="Times New Roman" w:hAnsi="Times New Roman"/>
          <w:b w:val="0"/>
          <w:sz w:val="28"/>
        </w:rPr>
        <w:t>»</w:t>
      </w:r>
    </w:p>
    <w:p w14:paraId="C101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C201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Показатель (индикатор) «</w:t>
      </w:r>
      <w:r>
        <w:t xml:space="preserve">Количество введенных в эксплуатацию жилых домов, относящихся (жилые помещения в которых относятся) к стандартному жилью»: </w:t>
      </w:r>
    </w:p>
    <w:p w14:paraId="C301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t>СД</w:t>
      </w:r>
      <w:r>
        <w:rPr>
          <w:rFonts w:ascii="Times New Roman" w:hAnsi="Times New Roman"/>
          <w:b w:val="0"/>
          <w:sz w:val="22"/>
        </w:rPr>
        <w:t>гппз</w:t>
      </w:r>
      <w:r>
        <w:rPr>
          <w:rFonts w:ascii="Times New Roman" w:hAnsi="Times New Roman"/>
          <w:b w:val="0"/>
          <w:sz w:val="28"/>
        </w:rPr>
        <w:t xml:space="preserve"> = 0/1 = 0</w:t>
      </w:r>
    </w:p>
    <w:p w14:paraId="C401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Степень реализации государственной программы рассчитывается по формуле:</w:t>
      </w:r>
    </w:p>
    <w:p w14:paraId="C5010000">
      <w:pPr>
        <w:pStyle w:val="Style_1"/>
        <w:ind w:firstLine="0" w:left="0"/>
        <w:jc w:val="center"/>
        <w:rPr>
          <w:rFonts w:ascii="Times New Roman" w:hAnsi="Times New Roman"/>
          <w:b w:val="0"/>
          <w:sz w:val="28"/>
        </w:rPr>
      </w:pPr>
      <w:r>
        <w:t xml:space="preserve">  </w:t>
      </w:r>
      <w:r>
        <w:drawing>
          <wp:inline>
            <wp:extent cx="4562474" cy="609600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4562474" cy="6096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C6010000">
      <w:pPr>
        <w:rPr>
          <w:rFonts w:ascii="Times New Roman" w:hAnsi="Times New Roman"/>
        </w:rPr>
      </w:pPr>
    </w:p>
    <w:p w14:paraId="C7010000">
      <w:pPr>
        <w:ind w:firstLine="142" w:left="567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24"/>
        </w:rPr>
        <w:t>гп</w:t>
      </w:r>
      <w:r>
        <w:rPr>
          <w:rFonts w:ascii="Times New Roman" w:hAnsi="Times New Roman"/>
        </w:rPr>
        <w:t xml:space="preserve"> – степень реализации Программы;</w:t>
      </w:r>
    </w:p>
    <w:p w14:paraId="C8010000">
      <w:p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СД</w:t>
      </w:r>
      <w:r>
        <w:rPr>
          <w:rFonts w:ascii="Times New Roman" w:hAnsi="Times New Roman"/>
          <w:sz w:val="24"/>
        </w:rPr>
        <w:t>гппз</w:t>
      </w:r>
      <w:r>
        <w:rPr>
          <w:rFonts w:ascii="Times New Roman" w:hAnsi="Times New Roman"/>
        </w:rPr>
        <w:t xml:space="preserve"> – степень достижения планового значения показателя (индикатора) государственной программы;</w:t>
      </w:r>
    </w:p>
    <w:p w14:paraId="C9010000">
      <w:pPr>
        <w:ind w:firstLine="0" w:left="709"/>
        <w:rPr>
          <w:rFonts w:ascii="Times New Roman" w:hAnsi="Times New Roman"/>
        </w:rPr>
      </w:pPr>
      <w:r>
        <w:rPr>
          <w:rFonts w:ascii="Times New Roman" w:hAnsi="Times New Roman"/>
        </w:rPr>
        <w:t>М – число показателей (индикаторов) государственной программы.</w:t>
      </w:r>
    </w:p>
    <w:p w14:paraId="CA01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</w:rPr>
        <w:t>При использовании данной формулы в случае, если СД</w:t>
      </w:r>
      <w:r>
        <w:rPr>
          <w:rFonts w:ascii="Times New Roman" w:hAnsi="Times New Roman"/>
          <w:sz w:val="24"/>
        </w:rPr>
        <w:t>гппз</w:t>
      </w:r>
      <w:r>
        <w:rPr>
          <w:rFonts w:ascii="Times New Roman" w:hAnsi="Times New Roman"/>
        </w:rPr>
        <w:t xml:space="preserve"> больше 1, значение СД</w:t>
      </w:r>
      <w:r>
        <w:rPr>
          <w:rFonts w:ascii="Times New Roman" w:hAnsi="Times New Roman"/>
          <w:sz w:val="24"/>
        </w:rPr>
        <w:t>гппз</w:t>
      </w:r>
      <w:r>
        <w:rPr>
          <w:rFonts w:ascii="Times New Roman" w:hAnsi="Times New Roman"/>
        </w:rPr>
        <w:t xml:space="preserve"> принимается равным 1.</w:t>
      </w:r>
    </w:p>
    <w:p w14:paraId="CB010000">
      <w:pPr>
        <w:pStyle w:val="Style_1"/>
        <w:ind w:hanging="850" w:left="1559"/>
        <w:jc w:val="both"/>
        <w:rPr>
          <w:rFonts w:ascii="Times New Roman" w:hAnsi="Times New Roman"/>
          <w:b w:val="0"/>
          <w:sz w:val="24"/>
        </w:rPr>
      </w:pPr>
    </w:p>
    <w:p w14:paraId="CC010000">
      <w:pPr>
        <w:pStyle w:val="Style_1"/>
        <w:ind w:hanging="850" w:left="155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8"/>
        </w:rPr>
        <w:t>СР</w:t>
      </w:r>
      <w:r>
        <w:rPr>
          <w:rFonts w:ascii="Times New Roman" w:hAnsi="Times New Roman"/>
          <w:b w:val="0"/>
          <w:sz w:val="24"/>
        </w:rPr>
        <w:t xml:space="preserve">гп </w:t>
      </w:r>
      <w:r>
        <w:rPr>
          <w:rFonts w:ascii="Times New Roman" w:hAnsi="Times New Roman"/>
          <w:b w:val="0"/>
          <w:sz w:val="28"/>
        </w:rPr>
        <w:t>=</w:t>
      </w:r>
      <w:r>
        <w:rPr>
          <w:rFonts w:ascii="Times New Roman" w:hAnsi="Times New Roman"/>
          <w:b w:val="0"/>
          <w:sz w:val="24"/>
        </w:rPr>
        <w:t xml:space="preserve"> (</w:t>
      </w:r>
      <w:r>
        <w:rPr>
          <w:rFonts w:ascii="Times New Roman" w:hAnsi="Times New Roman"/>
          <w:b w:val="0"/>
          <w:sz w:val="22"/>
        </w:rPr>
        <w:t>11,99 + 10,83 + 40 + 47 + 0 + 36,62 + 21,51 + 11,92 + 14,6 + 3 + 1,47 + 4,78 +2 + 0 + +5,89 + 5) / 231 = 0,94</w:t>
      </w:r>
    </w:p>
    <w:p w14:paraId="CD01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CE01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CF01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D0010000">
      <w:pPr>
        <w:pStyle w:val="Style_1"/>
        <w:ind w:firstLine="709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2. Оценка степени соответствия запланированному уровню затрат</w:t>
      </w:r>
    </w:p>
    <w:p w14:paraId="D101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D2010000">
      <w:pPr>
        <w:ind/>
        <w:jc w:val="center"/>
      </w:pPr>
      <w:r>
        <w:t>ССуз = Зф / (Зп-Ззас)</w:t>
      </w:r>
    </w:p>
    <w:p w14:paraId="D3010000">
      <w:pPr>
        <w:ind w:firstLine="0"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 w14:paraId="D4010000">
      <w:pPr>
        <w:ind w:firstLine="540" w:left="0"/>
        <w:jc w:val="both"/>
        <w:rPr>
          <w:rFonts w:ascii="Times New Roman" w:hAnsi="Times New Roman"/>
        </w:rPr>
      </w:pPr>
    </w:p>
    <w:p w14:paraId="D501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СС</w:t>
      </w:r>
      <w:r>
        <w:rPr>
          <w:rFonts w:ascii="Times New Roman" w:hAnsi="Times New Roman"/>
          <w:sz w:val="24"/>
        </w:rPr>
        <w:t>уз</w:t>
      </w:r>
      <w:r>
        <w:rPr>
          <w:rFonts w:ascii="Times New Roman" w:hAnsi="Times New Roman"/>
        </w:rPr>
        <w:t xml:space="preserve"> – степень соответствия запланированному уровню расходов;</w:t>
      </w:r>
    </w:p>
    <w:p w14:paraId="D601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>
        <w:rPr>
          <w:rFonts w:ascii="Times New Roman" w:hAnsi="Times New Roman"/>
          <w:sz w:val="24"/>
        </w:rPr>
        <w:t>ф</w:t>
      </w:r>
      <w:r>
        <w:rPr>
          <w:rFonts w:ascii="Times New Roman" w:hAnsi="Times New Roman"/>
        </w:rPr>
        <w:t xml:space="preserve"> – фактические расходы краевого бюджета на реализацию государственной программы в отчетном году;</w:t>
      </w:r>
    </w:p>
    <w:p w14:paraId="D701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</w:rPr>
        <w:t xml:space="preserve"> – плановые расходы краевого бюджета на реализацию государственной программы в отчетном году;</w:t>
      </w:r>
    </w:p>
    <w:p w14:paraId="D801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>
        <w:rPr>
          <w:rFonts w:ascii="Times New Roman" w:hAnsi="Times New Roman"/>
          <w:sz w:val="24"/>
        </w:rPr>
        <w:t>зас</w:t>
      </w:r>
      <w:r>
        <w:rPr>
          <w:rFonts w:ascii="Times New Roman" w:hAnsi="Times New Roman"/>
        </w:rPr>
        <w:t xml:space="preserve"> – фактические объемы средств резервных фондов и резервы ассигнований краевого бюджета, созданные в соответствии с законодательством Российской Федерации и Камчатского края.</w:t>
      </w:r>
    </w:p>
    <w:p w14:paraId="D9010000">
      <w:pPr>
        <w:ind w:firstLine="540" w:left="0"/>
        <w:jc w:val="both"/>
        <w:rPr>
          <w:rFonts w:ascii="Times New Roman" w:hAnsi="Times New Roman"/>
        </w:rPr>
      </w:pPr>
    </w:p>
    <w:p w14:paraId="DA010000">
      <w:pPr>
        <w:pStyle w:val="Style_1"/>
        <w:ind w:firstLine="709" w:left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</w:rPr>
        <w:t>СС</w:t>
      </w:r>
      <w:r>
        <w:rPr>
          <w:rFonts w:ascii="Times New Roman" w:hAnsi="Times New Roman"/>
          <w:sz w:val="24"/>
        </w:rPr>
        <w:t>уз</w:t>
      </w:r>
      <w:r>
        <w:rPr>
          <w:rFonts w:ascii="Times New Roman" w:hAnsi="Times New Roman"/>
        </w:rPr>
        <w:t xml:space="preserve"> = 174 922,81744/175 295,68085 = 0,99</w:t>
      </w:r>
    </w:p>
    <w:p w14:paraId="DB010000">
      <w:pPr>
        <w:pStyle w:val="Style_1"/>
        <w:ind w:firstLine="709" w:left="0"/>
        <w:jc w:val="center"/>
        <w:rPr>
          <w:rFonts w:ascii="Times New Roman" w:hAnsi="Times New Roman"/>
          <w:b w:val="0"/>
          <w:sz w:val="28"/>
        </w:rPr>
      </w:pPr>
    </w:p>
    <w:p w14:paraId="DC010000">
      <w:pPr>
        <w:pStyle w:val="Style_1"/>
        <w:ind w:firstLine="709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3. Степень реализации контрольных событий</w:t>
      </w:r>
    </w:p>
    <w:p w14:paraId="DD010000">
      <w:pPr>
        <w:pStyle w:val="Style_1"/>
        <w:ind w:firstLine="709" w:left="0"/>
        <w:jc w:val="center"/>
        <w:rPr>
          <w:rFonts w:ascii="Times New Roman" w:hAnsi="Times New Roman"/>
          <w:b w:val="0"/>
          <w:sz w:val="28"/>
        </w:rPr>
      </w:pPr>
    </w:p>
    <w:p w14:paraId="DE010000">
      <w:p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Степень реализации контрольных событий плана реализации государственной программы оценивается для государственной программы в целом как доля контрольных событий, выполненных в отчетном году, по следующей формуле:</w:t>
      </w:r>
    </w:p>
    <w:p w14:paraId="DF010000">
      <w:pPr>
        <w:rPr>
          <w:rFonts w:ascii="Times New Roman" w:hAnsi="Times New Roman"/>
        </w:rPr>
      </w:pPr>
    </w:p>
    <w:p w14:paraId="E0010000">
      <w:pPr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СРкс = КСв / КС</w:t>
      </w:r>
    </w:p>
    <w:p w14:paraId="E1010000">
      <w:pPr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 w14:paraId="E2010000">
      <w:pPr>
        <w:rPr>
          <w:rFonts w:ascii="Times New Roman" w:hAnsi="Times New Roman"/>
        </w:rPr>
      </w:pPr>
    </w:p>
    <w:p w14:paraId="E3010000">
      <w:p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24"/>
        </w:rPr>
        <w:t>кс</w:t>
      </w:r>
      <w:r>
        <w:rPr>
          <w:rFonts w:ascii="Times New Roman" w:hAnsi="Times New Roman"/>
        </w:rPr>
        <w:t xml:space="preserve"> – степень реализации контрольных событий;</w:t>
      </w:r>
    </w:p>
    <w:p w14:paraId="E4010000">
      <w:p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КС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</w:rPr>
        <w:t xml:space="preserve"> – количество выполненных контрольных событий из числа контрольных событий, запланированных к реализации в отчетном году;</w:t>
      </w:r>
    </w:p>
    <w:p w14:paraId="E5010000">
      <w:p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КС – общее количество контрольных событий, запланированных к реализации в отчетном году.</w:t>
      </w:r>
    </w:p>
    <w:p w14:paraId="E6010000">
      <w:pPr>
        <w:ind w:firstLine="709"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СРкс = 32 /35</w:t>
      </w:r>
      <w:r>
        <w:rPr>
          <w:rFonts w:ascii="Times New Roman" w:hAnsi="Times New Roman"/>
        </w:rPr>
        <w:t xml:space="preserve"> = 0,91</w:t>
      </w:r>
    </w:p>
    <w:p w14:paraId="E7010000">
      <w:pPr>
        <w:ind w:firstLine="709" w:left="0"/>
        <w:jc w:val="center"/>
        <w:rPr>
          <w:rFonts w:ascii="Times New Roman" w:hAnsi="Times New Roman"/>
        </w:rPr>
      </w:pPr>
    </w:p>
    <w:p w14:paraId="E8010000">
      <w:pPr>
        <w:widowControl w:val="0"/>
        <w:ind w:firstLine="709" w:left="0"/>
        <w:jc w:val="both"/>
      </w:pPr>
    </w:p>
    <w:p w14:paraId="E9010000">
      <w:pPr>
        <w:widowControl w:val="0"/>
        <w:ind w:firstLine="709" w:left="0"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4. Оценка эффективности реализации государственной программы</w:t>
      </w:r>
    </w:p>
    <w:p w14:paraId="EA010000">
      <w:pPr>
        <w:widowControl w:val="0"/>
        <w:ind w:firstLine="709" w:left="0"/>
        <w:jc w:val="both"/>
        <w:rPr>
          <w:rFonts w:ascii="Times New Roman" w:hAnsi="Times New Roman"/>
        </w:rPr>
      </w:pPr>
    </w:p>
    <w:p w14:paraId="EB010000">
      <w:pPr>
        <w:widowControl w:val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Эффективность реализации государственной программы</w:t>
      </w:r>
      <w:r>
        <w:rPr>
          <w:rFonts w:ascii="Times New Roman" w:hAnsi="Times New Roman"/>
          <w:b w:val="0"/>
        </w:rPr>
        <w:t xml:space="preserve"> оце</w:t>
      </w:r>
      <w:r>
        <w:rPr>
          <w:rFonts w:ascii="Times New Roman" w:hAnsi="Times New Roman"/>
        </w:rPr>
        <w:t xml:space="preserve">нивается в зависимости от значений степени достижения целей и решения задач государственной программы, степени соответствия запланированному уровню затрат, степени реализации контрольных событий государственной программы, как среднее значение, по следующей формуле: </w:t>
      </w:r>
    </w:p>
    <w:p w14:paraId="EC010000">
      <w:pPr>
        <w:widowControl w:val="0"/>
        <w:ind w:firstLine="709" w:left="0"/>
        <w:jc w:val="both"/>
        <w:rPr>
          <w:rFonts w:ascii="Times New Roman" w:hAnsi="Times New Roman"/>
        </w:rPr>
      </w:pPr>
    </w:p>
    <w:p w14:paraId="ED010000">
      <w:pPr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ЭР</w:t>
      </w:r>
      <w:r>
        <w:rPr>
          <w:rFonts w:ascii="Times New Roman" w:hAnsi="Times New Roman"/>
          <w:vertAlign w:val="subscript"/>
        </w:rPr>
        <w:t>гп</w:t>
      </w:r>
      <w:r>
        <w:rPr>
          <w:rFonts w:ascii="Times New Roman" w:hAnsi="Times New Roman"/>
        </w:rPr>
        <w:t xml:space="preserve"> = (СР</w:t>
      </w:r>
      <w:r>
        <w:rPr>
          <w:rFonts w:ascii="Times New Roman" w:hAnsi="Times New Roman"/>
          <w:vertAlign w:val="subscript"/>
        </w:rPr>
        <w:t>гп</w:t>
      </w:r>
      <w:r>
        <w:rPr>
          <w:rFonts w:ascii="Times New Roman" w:hAnsi="Times New Roman"/>
        </w:rPr>
        <w:t xml:space="preserve"> + СС</w:t>
      </w:r>
      <w:r>
        <w:rPr>
          <w:rFonts w:ascii="Times New Roman" w:hAnsi="Times New Roman"/>
          <w:vertAlign w:val="subscript"/>
        </w:rPr>
        <w:t>уз</w:t>
      </w:r>
      <w:r>
        <w:rPr>
          <w:rFonts w:ascii="Times New Roman" w:hAnsi="Times New Roman"/>
        </w:rPr>
        <w:t xml:space="preserve"> + СР</w:t>
      </w:r>
      <w:r>
        <w:rPr>
          <w:rFonts w:ascii="Times New Roman" w:hAnsi="Times New Roman"/>
          <w:vertAlign w:val="subscript"/>
        </w:rPr>
        <w:t xml:space="preserve">кс </w:t>
      </w:r>
      <w:r>
        <w:rPr>
          <w:rFonts w:ascii="Times New Roman" w:hAnsi="Times New Roman"/>
        </w:rPr>
        <w:t>) / 3</w:t>
      </w:r>
    </w:p>
    <w:p w14:paraId="EE010000">
      <w:pPr>
        <w:rPr>
          <w:rFonts w:ascii="Times New Roman" w:hAnsi="Times New Roman"/>
        </w:rPr>
      </w:pPr>
    </w:p>
    <w:p w14:paraId="EF010000">
      <w:pPr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 w14:paraId="F001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ЭР</w:t>
      </w:r>
      <w:r>
        <w:rPr>
          <w:rFonts w:ascii="Times New Roman" w:hAnsi="Times New Roman"/>
          <w:vertAlign w:val="subscript"/>
        </w:rPr>
        <w:t>гп</w:t>
      </w:r>
      <w:r>
        <w:rPr>
          <w:rFonts w:ascii="Times New Roman" w:hAnsi="Times New Roman"/>
        </w:rPr>
        <w:t xml:space="preserve"> – эффективность реализации государственной программы;</w:t>
      </w:r>
    </w:p>
    <w:p w14:paraId="F101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vertAlign w:val="subscript"/>
        </w:rPr>
        <w:t>гп</w:t>
      </w:r>
      <w:r>
        <w:rPr>
          <w:rFonts w:ascii="Times New Roman" w:hAnsi="Times New Roman"/>
        </w:rPr>
        <w:t xml:space="preserve"> – степень реализации государственной программы;</w:t>
      </w:r>
    </w:p>
    <w:p w14:paraId="F201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СС</w:t>
      </w:r>
      <w:r>
        <w:rPr>
          <w:rFonts w:ascii="Times New Roman" w:hAnsi="Times New Roman"/>
          <w:vertAlign w:val="subscript"/>
        </w:rPr>
        <w:t>уз</w:t>
      </w:r>
      <w:r>
        <w:rPr>
          <w:rFonts w:ascii="Times New Roman" w:hAnsi="Times New Roman"/>
        </w:rPr>
        <w:t xml:space="preserve"> – степень соответствия запланированному уровню расходов госу;</w:t>
      </w:r>
    </w:p>
    <w:p w14:paraId="F3010000">
      <w:pPr>
        <w:pStyle w:val="Style_1"/>
        <w:ind w:firstLine="0" w:left="0"/>
        <w:jc w:val="center"/>
        <w:rPr>
          <w:rFonts w:ascii="Times New Roman" w:hAnsi="Times New Roman"/>
          <w:b w:val="0"/>
          <w:sz w:val="28"/>
        </w:rPr>
      </w:pPr>
    </w:p>
    <w:p w14:paraId="F4010000">
      <w:pPr>
        <w:pStyle w:val="Style_1"/>
        <w:ind w:firstLine="0" w:left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</w:rPr>
        <w:t>ЭР</w:t>
      </w:r>
      <w:r>
        <w:rPr>
          <w:rFonts w:ascii="Times New Roman" w:hAnsi="Times New Roman"/>
          <w:sz w:val="24"/>
        </w:rPr>
        <w:t>гп</w:t>
      </w:r>
      <w:r>
        <w:rPr>
          <w:rFonts w:ascii="Times New Roman" w:hAnsi="Times New Roman"/>
        </w:rPr>
        <w:t xml:space="preserve"> = (0,94 + 0,99 </w:t>
      </w:r>
      <w:r>
        <w:rPr>
          <w:rFonts w:ascii="Times New Roman" w:hAnsi="Times New Roman"/>
          <w:b w:val="0"/>
          <w:sz w:val="28"/>
        </w:rPr>
        <w:t>+ 0,91) /3 = 0,95</w:t>
      </w:r>
    </w:p>
    <w:p w14:paraId="F5010000">
      <w:pPr>
        <w:pStyle w:val="Style_1"/>
        <w:ind w:firstLine="0" w:left="0"/>
        <w:jc w:val="center"/>
        <w:rPr>
          <w:rFonts w:ascii="Times New Roman" w:hAnsi="Times New Roman"/>
          <w:b w:val="0"/>
          <w:sz w:val="28"/>
        </w:rPr>
      </w:pPr>
    </w:p>
    <w:p w14:paraId="F601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Эффективность реализации государственной программы признается высокой в случае, если значение ЭР</w:t>
      </w:r>
      <w:r>
        <w:rPr>
          <w:rFonts w:ascii="Times New Roman" w:hAnsi="Times New Roman"/>
          <w:b w:val="0"/>
          <w:sz w:val="22"/>
        </w:rPr>
        <w:t>гп</w:t>
      </w:r>
      <w:r>
        <w:rPr>
          <w:rFonts w:ascii="Times New Roman" w:hAnsi="Times New Roman"/>
          <w:b w:val="0"/>
          <w:sz w:val="28"/>
        </w:rPr>
        <w:t xml:space="preserve"> составляет не менее 0,95. Таким образом степень реализации государственной программы Камчатского края </w:t>
      </w:r>
      <w:r>
        <w:rPr>
          <w:rFonts w:ascii="Times New Roman" w:hAnsi="Times New Roman"/>
        </w:rPr>
        <w:t>«Социальное и экономическое развитие территории с особым статусом «Корякский округ» в 2022 году признается высокой.</w:t>
      </w:r>
    </w:p>
    <w:p w14:paraId="F701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</w:p>
    <w:sectPr>
      <w:footerReference r:id="rId1" w:type="default"/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/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)"/>
      <w:pPr>
        <w:ind w:hanging="360" w:left="720"/>
      </w:pPr>
    </w:lvl>
    <w:lvl w:ilvl="1">
      <w:start w:val="1"/>
      <w:numFmt w:val="russianLower"/>
      <w:lvlText w:val="%2)"/>
      <w:pPr>
        <w:ind w:hanging="360" w:left="1440"/>
      </w:pPr>
    </w:lvl>
    <w:lvl w:ilvl="2">
      <w:start w:val="1"/>
      <w:numFmt w:val="lowerRoman"/>
      <w:lvlText w:val="%3)"/>
      <w:lvlJc w:val="right"/>
      <w:pPr>
        <w:ind w:hanging="360" w:left="2160"/>
      </w:pPr>
    </w:lvl>
    <w:lvl w:ilvl="3">
      <w:start w:val="1"/>
      <w:numFmt w:val="decimal"/>
      <w:lvlText w:val="%4)"/>
      <w:pPr>
        <w:ind w:hanging="360" w:left="2880"/>
      </w:pPr>
    </w:lvl>
    <w:lvl w:ilvl="4">
      <w:start w:val="1"/>
      <w:numFmt w:val="russianLower"/>
      <w:lvlText w:val="%5)"/>
      <w:pPr>
        <w:ind w:hanging="360" w:left="3600"/>
      </w:pPr>
    </w:lvl>
    <w:lvl w:ilvl="5">
      <w:start w:val="1"/>
      <w:numFmt w:val="lowerRoman"/>
      <w:lvlText w:val="%6)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russianLow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1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toc 3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link w:val="Style_7"/>
    <w:rPr>
      <w:rFonts w:ascii="XO Thames" w:hAnsi="XO Thames"/>
      <w:sz w:val="28"/>
    </w:rPr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link w:val="Style_8"/>
    <w:rPr>
      <w:rFonts w:ascii="XO Thames" w:hAnsi="XO Thames"/>
      <w:b w:val="1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2_ch" w:type="character">
    <w:name w:val="toc 1"/>
    <w:link w:val="Style_12"/>
    <w:rPr>
      <w:rFonts w:ascii="XO Thames" w:hAnsi="XO Thames"/>
      <w:b w:val="1"/>
      <w:sz w:val="28"/>
    </w:rPr>
  </w:style>
  <w:style w:styleId="Style_13" w:type="paragraph">
    <w:name w:val="Header and Footer"/>
    <w:link w:val="Style_13_ch"/>
    <w:pPr>
      <w:spacing w:line="240" w:lineRule="auto"/>
      <w:ind/>
      <w:jc w:val="both"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4_ch" w:type="character">
    <w:name w:val="toc 9"/>
    <w:link w:val="Style_14"/>
    <w:rPr>
      <w:rFonts w:ascii="XO Thames" w:hAnsi="XO Thames"/>
      <w:sz w:val="28"/>
    </w:rPr>
  </w:style>
  <w:style w:styleId="Style_15" w:type="paragraph">
    <w:name w:val="toc 8"/>
    <w:next w:val="Style_1"/>
    <w:link w:val="Style_1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5_ch" w:type="character">
    <w:name w:val="toc 8"/>
    <w:link w:val="Style_15"/>
    <w:rPr>
      <w:rFonts w:ascii="XO Thames" w:hAnsi="XO Thames"/>
      <w:sz w:val="28"/>
    </w:rPr>
  </w:style>
  <w:style w:styleId="Style_16" w:type="paragraph">
    <w:name w:val="toc 5"/>
    <w:next w:val="Style_1"/>
    <w:link w:val="Style_1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6_ch" w:type="character">
    <w:name w:val="toc 5"/>
    <w:link w:val="Style_16"/>
    <w:rPr>
      <w:rFonts w:ascii="XO Thames" w:hAnsi="XO Thames"/>
      <w:sz w:val="28"/>
    </w:rPr>
  </w:style>
  <w:style w:styleId="Style_17" w:type="paragraph">
    <w:name w:val="Subtitle"/>
    <w:next w:val="Style_1"/>
    <w:link w:val="Style_1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7_ch" w:type="character">
    <w:name w:val="Subtitle"/>
    <w:link w:val="Style_17"/>
    <w:rPr>
      <w:rFonts w:ascii="XO Thames" w:hAnsi="XO Thames"/>
      <w:i w:val="1"/>
      <w:sz w:val="24"/>
    </w:rPr>
  </w:style>
  <w:style w:styleId="Style_18" w:type="paragraph">
    <w:name w:val="Title"/>
    <w:next w:val="Style_1"/>
    <w:link w:val="Style_1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8_ch" w:type="character">
    <w:name w:val="Title"/>
    <w:link w:val="Style_18"/>
    <w:rPr>
      <w:rFonts w:ascii="XO Thames" w:hAnsi="XO Thames"/>
      <w:b w:val="1"/>
      <w:caps w:val="1"/>
      <w:sz w:val="40"/>
    </w:rPr>
  </w:style>
  <w:style w:styleId="Style_19" w:type="paragraph">
    <w:name w:val="heading 4"/>
    <w:next w:val="Style_1"/>
    <w:link w:val="Style_1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9_ch" w:type="character">
    <w:name w:val="heading 4"/>
    <w:link w:val="Style_19"/>
    <w:rPr>
      <w:rFonts w:ascii="XO Thames" w:hAnsi="XO Thames"/>
      <w:b w:val="1"/>
      <w:sz w:val="24"/>
    </w:rPr>
  </w:style>
  <w:style w:styleId="Style_20" w:type="paragraph">
    <w:name w:val="heading 2"/>
    <w:next w:val="Style_1"/>
    <w:link w:val="Style_2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0_ch" w:type="character">
    <w:name w:val="heading 2"/>
    <w:link w:val="Style_20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png" Type="http://schemas.openxmlformats.org/officeDocument/2006/relationships/imag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2023-04-07T02:16:44Z</dcterms:modified>
</cp:coreProperties>
</file>